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1B715C">
        <w:tc>
          <w:tcPr>
            <w:tcW w:w="850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1B715C" w:rsidRDefault="00472460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502920" cy="601980"/>
                  <wp:effectExtent l="0" t="0" r="0" b="7620"/>
                  <wp:docPr id="1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B715C" w:rsidRDefault="001B715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1B715C">
        <w:tc>
          <w:tcPr>
            <w:tcW w:w="9322" w:type="dxa"/>
            <w:gridSpan w:val="11"/>
          </w:tcPr>
          <w:p w:rsidR="001B715C" w:rsidRDefault="00472460" w:rsidP="009E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1B715C">
        <w:tc>
          <w:tcPr>
            <w:tcW w:w="9322" w:type="dxa"/>
            <w:gridSpan w:val="11"/>
          </w:tcPr>
          <w:p w:rsidR="001B715C" w:rsidRDefault="00472460" w:rsidP="009E07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1B715C">
        <w:tc>
          <w:tcPr>
            <w:tcW w:w="850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1B715C" w:rsidRDefault="001B715C" w:rsidP="009E07DA">
            <w:pPr>
              <w:spacing w:after="0" w:line="240" w:lineRule="auto"/>
              <w:rPr>
                <w:rFonts w:ascii="Tahoma" w:eastAsia="Tahoma" w:hAnsi="Tahoma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B715C" w:rsidRDefault="001B715C" w:rsidP="009E07DA">
            <w:pPr>
              <w:spacing w:after="0" w:line="240" w:lineRule="auto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B715C" w:rsidRDefault="001B715C" w:rsidP="009E07DA">
            <w:pPr>
              <w:spacing w:after="0" w:line="240" w:lineRule="auto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</w:tr>
      <w:tr w:rsidR="001B715C">
        <w:tc>
          <w:tcPr>
            <w:tcW w:w="9322" w:type="dxa"/>
            <w:gridSpan w:val="11"/>
          </w:tcPr>
          <w:p w:rsidR="001B715C" w:rsidRDefault="00472460" w:rsidP="009E07D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ahoma" w:hAnsi="Times New Roman"/>
                <w:sz w:val="26"/>
                <w:szCs w:val="26"/>
                <w:lang w:eastAsia="ru-RU"/>
              </w:rPr>
              <w:t>УПРАВЛЕНИЕ ОБРАЗОВАНИЯ</w:t>
            </w:r>
          </w:p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</w:tc>
      </w:tr>
      <w:tr w:rsidR="001B715C">
        <w:tc>
          <w:tcPr>
            <w:tcW w:w="850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</w:tr>
      <w:tr w:rsidR="001B715C">
        <w:tc>
          <w:tcPr>
            <w:tcW w:w="1700" w:type="dxa"/>
            <w:gridSpan w:val="2"/>
            <w:vAlign w:val="center"/>
          </w:tcPr>
          <w:p w:rsidR="001B715C" w:rsidRDefault="004F1ACF" w:rsidP="009E07DA">
            <w:pPr>
              <w:spacing w:after="0" w:line="240" w:lineRule="auto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  <w:t>05.02.2024</w:t>
            </w: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1B715C" w:rsidRDefault="00472460" w:rsidP="009E07DA">
            <w:pPr>
              <w:spacing w:after="0" w:line="240" w:lineRule="auto"/>
              <w:jc w:val="center"/>
              <w:rPr>
                <w:rFonts w:ascii="Times New Roman" w:eastAsia="Tahoma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ahoma" w:hAnsi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1B715C" w:rsidRDefault="001B715C" w:rsidP="009E07D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  <w:p w:rsidR="001B715C" w:rsidRDefault="001B715C" w:rsidP="009E07D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  <w:p w:rsidR="001B715C" w:rsidRDefault="001B715C" w:rsidP="009E07DA">
            <w:pPr>
              <w:spacing w:after="0" w:line="240" w:lineRule="auto"/>
              <w:jc w:val="center"/>
              <w:rPr>
                <w:rFonts w:ascii="Times New Roman" w:eastAsia="Tahoma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1B715C" w:rsidRDefault="00472460" w:rsidP="009E07DA">
            <w:pPr>
              <w:spacing w:after="0" w:line="240" w:lineRule="auto"/>
              <w:jc w:val="right"/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4F1ACF"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  <w:t xml:space="preserve"> 76</w:t>
            </w:r>
            <w:r w:rsidR="009E07DA"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  <w:t>-ОД</w:t>
            </w:r>
            <w:r>
              <w:rPr>
                <w:rFonts w:ascii="Times New Roman" w:eastAsia="Tahoma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</w:tc>
      </w:tr>
      <w:tr w:rsidR="001B715C">
        <w:tc>
          <w:tcPr>
            <w:tcW w:w="850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1B715C" w:rsidRDefault="00472460" w:rsidP="009E07D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B715C" w:rsidRDefault="001B715C" w:rsidP="009E07DA">
            <w:pPr>
              <w:spacing w:after="0" w:line="240" w:lineRule="auto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</w:tc>
      </w:tr>
      <w:tr w:rsidR="001B715C">
        <w:tc>
          <w:tcPr>
            <w:tcW w:w="9322" w:type="dxa"/>
            <w:gridSpan w:val="11"/>
          </w:tcPr>
          <w:p w:rsidR="001B715C" w:rsidRDefault="001B715C" w:rsidP="009E07DA">
            <w:pPr>
              <w:spacing w:after="0" w:line="240" w:lineRule="auto"/>
              <w:jc w:val="center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</w:tr>
      <w:tr w:rsidR="001B715C">
        <w:tc>
          <w:tcPr>
            <w:tcW w:w="9322" w:type="dxa"/>
            <w:gridSpan w:val="11"/>
          </w:tcPr>
          <w:p w:rsidR="001B715C" w:rsidRDefault="001B715C" w:rsidP="009E07DA">
            <w:pPr>
              <w:spacing w:after="0" w:line="240" w:lineRule="auto"/>
              <w:jc w:val="center"/>
              <w:rPr>
                <w:rFonts w:ascii="Tahoma" w:eastAsia="Tahoma" w:hAnsi="Tahoma"/>
                <w:sz w:val="28"/>
                <w:szCs w:val="28"/>
                <w:lang w:eastAsia="ru-RU"/>
              </w:rPr>
            </w:pPr>
          </w:p>
        </w:tc>
      </w:tr>
      <w:tr w:rsidR="001B715C">
        <w:tc>
          <w:tcPr>
            <w:tcW w:w="9322" w:type="dxa"/>
            <w:gridSpan w:val="11"/>
          </w:tcPr>
          <w:tbl>
            <w:tblPr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9356"/>
            </w:tblGrid>
            <w:tr w:rsidR="001B715C">
              <w:tc>
                <w:tcPr>
                  <w:tcW w:w="9356" w:type="dxa"/>
                </w:tcPr>
                <w:p w:rsidR="001B715C" w:rsidRDefault="00472460" w:rsidP="009E07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ahoma" w:hAnsi="Times New Roman"/>
                      <w:b/>
                      <w:sz w:val="28"/>
                      <w:szCs w:val="28"/>
                      <w:lang w:eastAsia="ru-RU"/>
                    </w:rPr>
                    <w:t xml:space="preserve">О проведении 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муниципальн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ого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этап</w:t>
                  </w: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а</w:t>
                  </w:r>
                </w:p>
                <w:p w:rsidR="001B715C" w:rsidRDefault="00472460" w:rsidP="009E07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XIII Всероссийской </w:t>
                  </w: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научно-практической конференции</w:t>
                  </w:r>
                </w:p>
                <w:p w:rsidR="001B715C" w:rsidRDefault="00472460" w:rsidP="009E07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с международным участием</w:t>
                  </w:r>
                </w:p>
                <w:p w:rsidR="001B715C" w:rsidRDefault="00472460" w:rsidP="009E07D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«Науки юношей питают»</w:t>
                  </w:r>
                </w:p>
                <w:p w:rsidR="001B715C" w:rsidRDefault="001B715C" w:rsidP="009E07DA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ahoma" w:hAnsi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1B715C" w:rsidRDefault="00472460" w:rsidP="009E07DA">
                  <w:pPr>
                    <w:spacing w:after="0" w:line="240" w:lineRule="auto"/>
                    <w:ind w:left="-108" w:firstLine="142"/>
                    <w:contextualSpacing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С целью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выявления и поддерж</w:t>
                  </w:r>
                  <w:r w:rsidR="004F1AC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ки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обучающихся, пр</w:t>
                  </w:r>
                  <w:r w:rsidR="004F1AC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оявивших выдающиеся способности, привлечения внимания,</w:t>
                  </w:r>
                  <w:r w:rsidR="004F1AC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обучающихся к наиболее перспективным областям науки, развитие технических, естественных и социально-гуманитарных знаний</w:t>
                  </w:r>
                </w:p>
              </w:tc>
            </w:tr>
          </w:tbl>
          <w:p w:rsidR="001B715C" w:rsidRDefault="00472460" w:rsidP="009E07DA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b/>
                <w:sz w:val="28"/>
                <w:szCs w:val="28"/>
                <w:lang w:eastAsia="ru-RU"/>
              </w:rPr>
              <w:t>ПРИКАЗЫВАЮ:</w:t>
            </w:r>
          </w:p>
          <w:p w:rsidR="001B715C" w:rsidRDefault="001B715C" w:rsidP="009E07DA">
            <w:pPr>
              <w:spacing w:after="0" w:line="240" w:lineRule="auto"/>
              <w:jc w:val="both"/>
              <w:rPr>
                <w:rFonts w:ascii="Times New Roman" w:eastAsia="Tahoma" w:hAnsi="Times New Roman"/>
                <w:sz w:val="15"/>
                <w:szCs w:val="15"/>
                <w:lang w:eastAsia="ru-RU"/>
              </w:rPr>
            </w:pPr>
          </w:p>
          <w:p w:rsidR="001B715C" w:rsidRDefault="00472460" w:rsidP="009E07DA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Провести м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 xml:space="preserve">униципальный этап XIII Всероссийской научно-практической 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конференции с международным участием «Науки юношей питают»</w:t>
            </w: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 xml:space="preserve"> в сроки, установленные Положением.</w:t>
            </w:r>
          </w:p>
          <w:p w:rsidR="001B715C" w:rsidRDefault="00472460" w:rsidP="009E07DA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  <w:lang w:eastAsia="ru-RU"/>
              </w:rPr>
              <w:t>о муниципальном этапе XIII Всероссийской научно-практической конференции с международным участием «Науки юношей питают»</w:t>
            </w: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 xml:space="preserve"> (Приложение 1).</w:t>
            </w:r>
          </w:p>
          <w:p w:rsidR="001B715C" w:rsidRDefault="00472460" w:rsidP="009E07DA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Утверд</w:t>
            </w: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ить состав жюри Конференции (Приложение 2).</w:t>
            </w:r>
          </w:p>
          <w:p w:rsidR="001B715C" w:rsidRDefault="00472460" w:rsidP="009E07DA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Возложить ответственность за организацию и проведение Конференции на директора МБОУ ДО «ЦДО» Е.М. Ямову.</w:t>
            </w:r>
          </w:p>
          <w:p w:rsidR="001B715C" w:rsidRDefault="00472460" w:rsidP="009E07DA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1B715C" w:rsidRDefault="001B715C" w:rsidP="009E07DA">
            <w:p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  <w:p w:rsidR="009E07DA" w:rsidRDefault="009E07DA" w:rsidP="009E07DA">
            <w:p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</w:p>
          <w:p w:rsidR="001B715C" w:rsidRDefault="001B715C" w:rsidP="009E07DA">
            <w:p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10"/>
                <w:szCs w:val="10"/>
                <w:lang w:eastAsia="ru-RU"/>
              </w:rPr>
            </w:pPr>
          </w:p>
          <w:p w:rsidR="001B715C" w:rsidRDefault="00472460" w:rsidP="009E07DA">
            <w:p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Заместитель Главы</w:t>
            </w:r>
          </w:p>
          <w:p w:rsidR="001B715C" w:rsidRDefault="00472460" w:rsidP="009E07DA">
            <w:pPr>
              <w:spacing w:after="0" w:line="240" w:lineRule="auto"/>
              <w:ind w:left="284"/>
              <w:jc w:val="both"/>
              <w:rPr>
                <w:rFonts w:ascii="Times New Roman" w:eastAsia="Tahom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>Великоустюгского муниципального округа,</w:t>
            </w:r>
          </w:p>
          <w:p w:rsidR="001B715C" w:rsidRDefault="00472460" w:rsidP="009E07DA">
            <w:pPr>
              <w:spacing w:after="0" w:line="240" w:lineRule="auto"/>
              <w:ind w:left="284" w:right="-250"/>
              <w:jc w:val="both"/>
              <w:rPr>
                <w:rFonts w:ascii="Tahoma" w:eastAsia="Tahoma" w:hAnsi="Tahoma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 xml:space="preserve">начальник управления образования                          </w:t>
            </w:r>
            <w:r>
              <w:rPr>
                <w:rFonts w:ascii="Times New Roman" w:eastAsia="Tahoma" w:hAnsi="Times New Roman"/>
                <w:sz w:val="28"/>
                <w:szCs w:val="28"/>
                <w:lang w:eastAsia="ru-RU"/>
              </w:rPr>
              <w:tab/>
              <w:t xml:space="preserve">          Е.С. Лопатникова</w:t>
            </w:r>
          </w:p>
        </w:tc>
      </w:tr>
    </w:tbl>
    <w:p w:rsidR="001B715C" w:rsidRDefault="001B715C">
      <w:pPr>
        <w:tabs>
          <w:tab w:val="left" w:pos="3750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E07DA" w:rsidRDefault="009E07DA">
      <w:pPr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eastAsia="ru-RU"/>
        </w:rPr>
      </w:pPr>
    </w:p>
    <w:p w:rsidR="001B715C" w:rsidRDefault="00472460">
      <w:pPr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ahoma" w:hAnsi="Times New Roman"/>
          <w:sz w:val="28"/>
          <w:szCs w:val="28"/>
          <w:lang w:eastAsia="ru-RU"/>
        </w:rPr>
        <w:lastRenderedPageBreak/>
        <w:t>Приложение 1 к Приказу</w:t>
      </w:r>
    </w:p>
    <w:p w:rsidR="001B715C" w:rsidRDefault="00472460">
      <w:pPr>
        <w:spacing w:after="0" w:line="240" w:lineRule="auto"/>
        <w:jc w:val="right"/>
        <w:rPr>
          <w:rFonts w:ascii="Times New Roman" w:eastAsia="Tahoma" w:hAnsi="Times New Roman"/>
          <w:sz w:val="28"/>
          <w:szCs w:val="28"/>
          <w:lang w:eastAsia="ru-RU"/>
        </w:rPr>
      </w:pPr>
      <w:r>
        <w:rPr>
          <w:rFonts w:ascii="Times New Roman" w:eastAsia="Tahoma" w:hAnsi="Times New Roman"/>
          <w:sz w:val="28"/>
          <w:szCs w:val="28"/>
          <w:lang w:eastAsia="ru-RU"/>
        </w:rPr>
        <w:t>Управления образования</w:t>
      </w:r>
    </w:p>
    <w:p w:rsidR="001B715C" w:rsidRDefault="00472460">
      <w:pPr>
        <w:tabs>
          <w:tab w:val="left" w:pos="3750"/>
        </w:tabs>
        <w:spacing w:after="0" w:line="240" w:lineRule="auto"/>
        <w:jc w:val="right"/>
        <w:rPr>
          <w:rFonts w:ascii="Times New Roman" w:eastAsia="Tahoma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ahoma" w:hAnsi="Times New Roman"/>
          <w:sz w:val="28"/>
          <w:szCs w:val="28"/>
          <w:lang w:eastAsia="ru-RU"/>
        </w:rPr>
        <w:t xml:space="preserve">                                                            </w:t>
      </w:r>
      <w:r w:rsidR="009E07DA">
        <w:rPr>
          <w:rFonts w:ascii="Times New Roman" w:eastAsia="Tahoma" w:hAnsi="Times New Roman"/>
          <w:color w:val="000000"/>
          <w:sz w:val="28"/>
          <w:szCs w:val="28"/>
          <w:lang w:eastAsia="ru-RU"/>
        </w:rPr>
        <w:t xml:space="preserve">от 05.02.2024 </w:t>
      </w:r>
      <w:r>
        <w:rPr>
          <w:rFonts w:ascii="Times New Roman" w:eastAsia="Tahoma" w:hAnsi="Times New Roman"/>
          <w:color w:val="000000"/>
          <w:sz w:val="28"/>
          <w:szCs w:val="28"/>
          <w:lang w:eastAsia="ru-RU"/>
        </w:rPr>
        <w:t>№</w:t>
      </w:r>
      <w:r w:rsidR="009E07DA">
        <w:rPr>
          <w:rFonts w:ascii="Times New Roman" w:eastAsia="Tahoma" w:hAnsi="Times New Roman"/>
          <w:color w:val="000000"/>
          <w:sz w:val="28"/>
          <w:szCs w:val="28"/>
          <w:lang w:eastAsia="ru-RU"/>
        </w:rPr>
        <w:t xml:space="preserve"> 76-ОД</w:t>
      </w:r>
      <w:r>
        <w:rPr>
          <w:rFonts w:ascii="Times New Roman" w:eastAsia="Tahoma" w:hAnsi="Times New Roman"/>
          <w:color w:val="000000"/>
          <w:sz w:val="28"/>
          <w:szCs w:val="28"/>
          <w:lang w:eastAsia="ru-RU"/>
        </w:rPr>
        <w:t xml:space="preserve">  </w:t>
      </w:r>
    </w:p>
    <w:p w:rsidR="001B715C" w:rsidRDefault="001B715C">
      <w:pPr>
        <w:tabs>
          <w:tab w:val="left" w:pos="3750"/>
        </w:tabs>
        <w:spacing w:after="0" w:line="240" w:lineRule="auto"/>
        <w:jc w:val="right"/>
        <w:rPr>
          <w:rFonts w:ascii="Times New Roman" w:eastAsia="Tahoma" w:hAnsi="Times New Roman"/>
          <w:color w:val="000000"/>
          <w:sz w:val="28"/>
          <w:szCs w:val="28"/>
          <w:lang w:eastAsia="ru-RU"/>
        </w:rPr>
      </w:pPr>
    </w:p>
    <w:p w:rsidR="001B715C" w:rsidRDefault="00472460">
      <w:pPr>
        <w:tabs>
          <w:tab w:val="left" w:pos="3750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ПОЛОЖЕНИЕ</w:t>
      </w:r>
    </w:p>
    <w:p w:rsidR="001B715C" w:rsidRDefault="004724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 муниципальном этапе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XIII Всероссийской научно-практической конференции с международным участием</w:t>
      </w: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«Науки юношей питают» </w:t>
      </w:r>
    </w:p>
    <w:p w:rsidR="001B715C" w:rsidRDefault="001B71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1B715C" w:rsidRPr="004F1ACF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1.1. Положение о муниципальном этапе XIII Всероссийской научно-практической конференции с международным участием «Науки юношей питают» (далее – Положение, Конференция) определяет </w:t>
      </w:r>
      <w:r w:rsidR="004F1ACF" w:rsidRPr="004F1ACF">
        <w:rPr>
          <w:rFonts w:ascii="Times New Roman" w:eastAsia="Times New Roman" w:hAnsi="Times New Roman"/>
          <w:sz w:val="28"/>
          <w:szCs w:val="28"/>
          <w:lang w:eastAsia="ru-RU"/>
        </w:rPr>
        <w:t>цель, задачи, сроки и порядок его проведения, критерии отбора победителей и призёров.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1.2. Конференция проводится с целью </w:t>
      </w:r>
      <w:r w:rsidR="004F1ACF">
        <w:rPr>
          <w:rFonts w:ascii="Times New Roman" w:eastAsia="Times New Roman" w:hAnsi="Times New Roman"/>
          <w:sz w:val="28"/>
          <w:szCs w:val="28"/>
          <w:lang w:eastAsia="ru-RU"/>
        </w:rPr>
        <w:t>выявления и поддержки обучающихся, проявивших выдающиеся способности, привлечения внимания, обучающихся к наиболее перспективным областям науки, развитие технических, естественных и социально-гуманитарных знаний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1.3. Задачи Конференции:</w:t>
      </w:r>
    </w:p>
    <w:p w:rsidR="001B715C" w:rsidRDefault="00472460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создание условий для интеллектуального развития и профессионализации обучающихся;</w:t>
      </w:r>
    </w:p>
    <w:p w:rsidR="001B715C" w:rsidRDefault="00472460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активизация творческой, познавательной, интеллектуальной инициат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ивы обучающихся, вовлечение их в исследовательскую, изобретательскую и иную творческую деятельность в различных областях науки, техники, культуры;</w:t>
      </w:r>
    </w:p>
    <w:p w:rsidR="001B715C" w:rsidRDefault="0047246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подведение итогов исследовательской и творческой работы обучающихся; </w:t>
      </w:r>
    </w:p>
    <w:p w:rsidR="001B715C" w:rsidRDefault="0047246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поддержки школьных научны</w:t>
      </w:r>
      <w:r>
        <w:rPr>
          <w:rFonts w:ascii="Times New Roman" w:hAnsi="Times New Roman"/>
          <w:sz w:val="28"/>
          <w:szCs w:val="28"/>
        </w:rPr>
        <w:t>х обществ;</w:t>
      </w:r>
    </w:p>
    <w:p w:rsidR="001B715C" w:rsidRDefault="0047246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активизация работы школьных, межшкольных факультативов, поддержка педагогов, организующих исследовательскую деятельность обучающихся;</w:t>
      </w:r>
    </w:p>
    <w:p w:rsidR="001B715C" w:rsidRDefault="00472460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содействие обмену педагогическим опытом, разработке и внедрению прогрессивных форм обучения;</w:t>
      </w:r>
    </w:p>
    <w:p w:rsidR="001B715C" w:rsidRDefault="0047246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увеличение численн</w:t>
      </w:r>
      <w:r>
        <w:rPr>
          <w:rFonts w:ascii="Times New Roman" w:hAnsi="Times New Roman"/>
          <w:sz w:val="28"/>
          <w:szCs w:val="28"/>
        </w:rPr>
        <w:t>ости обучающихся образовательных организаций области, участвующих в олимпиадах и конкурсах различного уровня;</w:t>
      </w:r>
    </w:p>
    <w:p w:rsidR="001B715C" w:rsidRDefault="0047246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увеличение численности обучающихся, охваченных дополнительными общеобразовательными программами.</w:t>
      </w:r>
    </w:p>
    <w:p w:rsidR="001B715C" w:rsidRDefault="001B715C">
      <w:pPr>
        <w:tabs>
          <w:tab w:val="left" w:pos="1080"/>
        </w:tabs>
        <w:ind w:firstLine="720"/>
        <w:jc w:val="both"/>
        <w:rPr>
          <w:rFonts w:ascii="Times New Roman" w:hAnsi="Times New Roman"/>
        </w:rPr>
      </w:pPr>
    </w:p>
    <w:p w:rsidR="001B715C" w:rsidRDefault="00472460">
      <w:pPr>
        <w:tabs>
          <w:tab w:val="left" w:pos="0"/>
          <w:tab w:val="left" w:pos="1276"/>
        </w:tabs>
        <w:spacing w:after="0" w:line="240" w:lineRule="auto"/>
        <w:ind w:left="45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</w:p>
    <w:p w:rsidR="001B715C" w:rsidRDefault="00472460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2.1. Учредитель –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управление образования администрации Великоустюгского муниципального округа.</w:t>
      </w:r>
    </w:p>
    <w:p w:rsidR="001B715C" w:rsidRDefault="00472460">
      <w:pPr>
        <w:tabs>
          <w:tab w:val="left" w:pos="0"/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 Организатор – МБОУ ДО «ЦДО» г. Великий Устюг (Центр дополнительного образования).</w:t>
      </w:r>
    </w:p>
    <w:p w:rsidR="001B715C" w:rsidRDefault="001B715C">
      <w:pPr>
        <w:spacing w:after="0" w:line="240" w:lineRule="auto"/>
        <w:ind w:firstLine="851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1B715C" w:rsidRDefault="004724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Участники Конференции</w:t>
      </w:r>
    </w:p>
    <w:p w:rsidR="001B715C" w:rsidRDefault="0047246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>
        <w:rPr>
          <w:rFonts w:ascii="Times New Roman" w:hAnsi="Times New Roman"/>
          <w:sz w:val="28"/>
          <w:szCs w:val="28"/>
        </w:rPr>
        <w:t>В конференции принимают участие обучающиеся 7-11 классов общеобр</w:t>
      </w:r>
      <w:r>
        <w:rPr>
          <w:rFonts w:ascii="Times New Roman" w:hAnsi="Times New Roman"/>
          <w:sz w:val="28"/>
          <w:szCs w:val="28"/>
        </w:rPr>
        <w:t>азовательных организаций Великоустюгского муниципального округа.</w:t>
      </w:r>
    </w:p>
    <w:p w:rsidR="001B715C" w:rsidRDefault="0047246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3.2. Возрастные группы:</w:t>
      </w:r>
    </w:p>
    <w:p w:rsidR="001B715C" w:rsidRDefault="0047246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3.2.1. Обучающиеся 7 - 9 классов.</w:t>
      </w:r>
    </w:p>
    <w:p w:rsidR="001B715C" w:rsidRDefault="00472460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Обучающиеся 10 - 11 классов. </w:t>
      </w:r>
    </w:p>
    <w:p w:rsidR="001B715C" w:rsidRDefault="001B715C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1B715C" w:rsidRDefault="00472460">
      <w:pPr>
        <w:widowControl w:val="0"/>
        <w:shd w:val="clear" w:color="auto" w:fill="FFFFFF"/>
        <w:spacing w:after="0" w:line="240" w:lineRule="auto"/>
        <w:ind w:left="360"/>
        <w:jc w:val="center"/>
      </w:pPr>
      <w:r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 xml:space="preserve">4. Сроки и порядок проведения 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Муниципальный этап Конференции проводится в период с 1 </w:t>
      </w:r>
      <w:r>
        <w:rPr>
          <w:rFonts w:ascii="Times New Roman" w:hAnsi="Times New Roman"/>
          <w:sz w:val="28"/>
          <w:szCs w:val="28"/>
        </w:rPr>
        <w:t>марта по 20 марта 2024 года.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МБОУ ДО «ЦДО» г. Великий Устюг (Центр дополнительного образования) осуществляет прием заявок и конкурсных работ в электронном виде по адресу электронной почты </w:t>
      </w:r>
      <w:hyperlink r:id="rId8" w:history="1">
        <w:r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cdovu.konkurs@mail.ru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период с 1 марта по 1</w:t>
      </w:r>
      <w:r w:rsidRPr="004F1AC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 2024 года.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Конференции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работу, соответствующую требованиям, указанным в разделе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насто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ящего Положения.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согласие на обработку и передачу персональных данных участника конкурса по форме согласно Приложению 2 к настоящему Положению.  </w:t>
      </w:r>
    </w:p>
    <w:p w:rsidR="001B715C" w:rsidRDefault="0047246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Конкурсные работы, поступившие в организационный комитет позднее указанного срока, рассматриваться не будут.</w:t>
      </w:r>
    </w:p>
    <w:p w:rsidR="001B715C" w:rsidRDefault="00472460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4.3. Защита конкурсных работ состоится 19 </w:t>
      </w: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марта 2024 года в 14:00 на базе МБОУ ДО «ЦДО» г. Великий Устюг. </w:t>
      </w:r>
    </w:p>
    <w:p w:rsidR="001B715C" w:rsidRDefault="00472460">
      <w:pPr>
        <w:widowControl w:val="0"/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4.4. Подведение итогов Конференции, и публикация в официальной группе ВК «Мероприятия ЦДО» 20 марта 2024 года. </w:t>
      </w:r>
    </w:p>
    <w:p w:rsidR="001B715C" w:rsidRDefault="001B715C">
      <w:pPr>
        <w:spacing w:after="0" w:line="240" w:lineRule="auto"/>
        <w:ind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</w:p>
    <w:p w:rsidR="001B715C" w:rsidRDefault="00472460">
      <w:pPr>
        <w:spacing w:after="0" w:line="240" w:lineRule="auto"/>
        <w:ind w:firstLine="851"/>
        <w:jc w:val="center"/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5. Номинации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Конференция проводится по следующим номинациям: 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5.1.1. Инженерные и технические науки;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5.1.2. Науки о природе и человеке;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5.1.3. Социальные и гуманитарные науки.</w:t>
      </w:r>
    </w:p>
    <w:p w:rsidR="001B715C" w:rsidRDefault="001B715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B715C" w:rsidRDefault="00472460">
      <w:pPr>
        <w:spacing w:after="0" w:line="240" w:lineRule="auto"/>
        <w:ind w:firstLine="113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</w:t>
      </w:r>
      <w:r>
        <w:rPr>
          <w:rFonts w:ascii="Times New Roman" w:hAnsi="Times New Roman"/>
          <w:b/>
          <w:sz w:val="28"/>
          <w:szCs w:val="28"/>
        </w:rPr>
        <w:tab/>
        <w:t xml:space="preserve">Требования </w:t>
      </w:r>
    </w:p>
    <w:p w:rsidR="001B715C" w:rsidRDefault="00472460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 Работы должны быть оформлены согласно следующим требованиям: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6.1.1. Объе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 – не более 10 страниц в формате .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>rtf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6.1.2.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Шрифт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- Times New Roman.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6.1.3.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Кегль</w:t>
      </w:r>
      <w:r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– 12.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6.1.4. Междустрочный интервал - 1,5. 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6.1.5. Поля: верхнее, нижнее и правое – 20 мм, левое – 30 мм.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6.1.6. Объем приложений к конкурсной работе – не более 10 страниц. 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6.2. Титульный лист, справочный аппарат (ссылки на источники, иллюстрации), приложения (не более 10 листов) в общий объём работы не входят. 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6.3. Титульный лист содержит следующие сведения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название Конкурса, тема работы, полные Ф.И.О. автора конкурсной работы, название образовательной организации, класс (группа), Ф.И.О. научного руководителя и должность.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6.4. Тема конкурсной работы должна соответствовать одной из номинаций конференции, ука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занной в п. 5 настоящего Положения.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6.5. Структура и содержание конкурсной работы: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введение должно включать в себя формулировку постановки проблемы, отражать актуальность темы, определение целей и задач, предмет и объект исследования, идея и гипотеза исс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ледования;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основная часть работы должна содержать методику исследований, информацию, информацию собственно собранную и отработанную исследователем (наличие своего исследования);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заключение, в котором должны быть представлены выводы, краткие формулировк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результатов работы в соответствии с поставленными задачами;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список литературы и другие источники, использованные автором. Все источники должны быть пронумерованы и расположены в алфавитном порядке. В тексте работы должны быть ссылки на использованные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сточники. 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>6.6. Конкурсные работы должны носить исследовательский характер.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6.7. Конкурсная работа выполняется участником (далее также - автором) самостоятельно.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6.8. </w:t>
      </w:r>
      <w:r>
        <w:rPr>
          <w:rFonts w:ascii="Times New Roman" w:hAnsi="Times New Roman"/>
          <w:sz w:val="28"/>
          <w:szCs w:val="28"/>
        </w:rPr>
        <w:t>Автор может заявить и выставить не более одной работы. У конкурсной работы может быть оди</w:t>
      </w:r>
      <w:r>
        <w:rPr>
          <w:rFonts w:ascii="Times New Roman" w:hAnsi="Times New Roman"/>
          <w:sz w:val="28"/>
          <w:szCs w:val="28"/>
        </w:rPr>
        <w:t>н и более авторов.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6.9. При защите конкурсной работы может использоваться демонстрационный материал (презентация, плакаты, стенды, макеты, образцы, демонстрационные модели и т.п.). 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6.10. Защиты конкурсной работы – не более 8 минут.</w:t>
      </w:r>
    </w:p>
    <w:p w:rsidR="001B715C" w:rsidRDefault="00472460">
      <w:pPr>
        <w:shd w:val="clear" w:color="auto" w:fill="FFFFFF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6.11. Критерии оцениван</w:t>
      </w:r>
      <w:r>
        <w:rPr>
          <w:rFonts w:ascii="Times New Roman" w:hAnsi="Times New Roman"/>
          <w:sz w:val="28"/>
          <w:szCs w:val="28"/>
        </w:rPr>
        <w:t>ия конкурсных работ указаны в Приложении 3 к настоящему Положению.</w:t>
      </w:r>
    </w:p>
    <w:p w:rsidR="001B715C" w:rsidRDefault="001B715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B715C" w:rsidRDefault="0047246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 Подведение итогов и награждение </w:t>
      </w:r>
    </w:p>
    <w:p w:rsidR="001B715C" w:rsidRDefault="004724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7.1. Победители и призеры Конференции награждаются дипломами за 1,2,3 место.</w:t>
      </w:r>
    </w:p>
    <w:p w:rsidR="001B715C" w:rsidRDefault="004724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7.2. Участники Конференции, не являющиеся победителями и (или) призерами, отмечаются сертификатами участника. </w:t>
      </w:r>
    </w:p>
    <w:p w:rsidR="001B715C" w:rsidRDefault="00472460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7.3. Сертификаты направляются участникам в электронном виде в двухнедельный срок после окончания Конференции.</w:t>
      </w:r>
    </w:p>
    <w:p w:rsidR="001B715C" w:rsidRDefault="001B715C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B715C" w:rsidRDefault="0047246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Контактная информация</w:t>
      </w:r>
    </w:p>
    <w:p w:rsidR="001B715C" w:rsidRDefault="0047246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Белых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Екатерина Васильевна, заместитель директора по воспитательной работе МБОУ ДО «ЦДО».</w:t>
      </w:r>
    </w:p>
    <w:p w:rsidR="001B715C" w:rsidRDefault="00472460">
      <w:pPr>
        <w:spacing w:after="0" w:line="240" w:lineRule="auto"/>
        <w:ind w:firstLine="851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Близникевич Яна Алексеевна, педагог-организатор МБОУ ДО «ЦДО».</w:t>
      </w:r>
    </w:p>
    <w:p w:rsidR="004F1ACF" w:rsidRDefault="00472460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  <w:sectPr w:rsidR="004F1ACF">
          <w:pgSz w:w="11906" w:h="16838"/>
          <w:pgMar w:top="1276" w:right="567" w:bottom="1135" w:left="1418" w:header="0" w:footer="0" w:gutter="0"/>
          <w:cols w:space="720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Тел. (881738)2-29-07</w:t>
      </w:r>
    </w:p>
    <w:p w:rsidR="001B715C" w:rsidRDefault="0047246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1B715C" w:rsidRDefault="0047246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1B715C" w:rsidRDefault="00472460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Заявка на участие в </w:t>
      </w:r>
    </w:p>
    <w:p w:rsidR="001B715C" w:rsidRDefault="004724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муниципальном этапе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X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III Всероссийской научно-практической конференции с международным участием</w:t>
      </w: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«Науки юношей питают» </w:t>
      </w:r>
    </w:p>
    <w:p w:rsidR="001B715C" w:rsidRDefault="001B715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B715C" w:rsidRDefault="00472460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образовательная организация</w:t>
      </w:r>
    </w:p>
    <w:p w:rsidR="001B715C" w:rsidRDefault="001B715C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2672"/>
        <w:gridCol w:w="1979"/>
        <w:gridCol w:w="2925"/>
        <w:gridCol w:w="1852"/>
        <w:gridCol w:w="1545"/>
        <w:gridCol w:w="1247"/>
        <w:gridCol w:w="1756"/>
      </w:tblGrid>
      <w:tr w:rsidR="001B715C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47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472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4724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Руководитель</w:t>
            </w:r>
          </w:p>
        </w:tc>
      </w:tr>
      <w:tr w:rsidR="001B715C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47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47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Возраст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5C" w:rsidRDefault="0047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Название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ru-RU"/>
              </w:rPr>
              <w:t xml:space="preserve"> направления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 w:bidi="ru-RU"/>
              </w:rPr>
              <w:t>/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47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47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47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47246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  <w:t>Электронная почта</w:t>
            </w:r>
          </w:p>
        </w:tc>
      </w:tr>
      <w:tr w:rsidR="001B715C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1B715C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15C" w:rsidRDefault="001B715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1B715C" w:rsidRDefault="001B715C">
      <w:pPr>
        <w:widowControl w:val="0"/>
        <w:autoSpaceDE w:val="0"/>
        <w:autoSpaceDN w:val="0"/>
        <w:spacing w:after="0" w:line="240" w:lineRule="auto"/>
        <w:ind w:left="102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 w:bidi="ru-RU"/>
        </w:rPr>
      </w:pPr>
    </w:p>
    <w:p w:rsidR="001B715C" w:rsidRDefault="00472460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Руководитель образовательной организации   </w:t>
      </w:r>
    </w:p>
    <w:p w:rsidR="001B715C" w:rsidRDefault="00472460">
      <w:pPr>
        <w:widowControl w:val="0"/>
        <w:autoSpaceDE w:val="0"/>
        <w:autoSpaceDN w:val="0"/>
        <w:spacing w:after="0" w:line="240" w:lineRule="auto"/>
        <w:ind w:left="102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                </w:t>
      </w:r>
    </w:p>
    <w:p w:rsidR="001B715C" w:rsidRDefault="0047246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«___» ______________2024 г.              ______________________________</w:t>
      </w:r>
    </w:p>
    <w:p w:rsidR="001B715C" w:rsidRDefault="00472460">
      <w:pPr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1B715C" w:rsidRDefault="001B71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B715C" w:rsidRDefault="001B715C">
      <w:pPr>
        <w:widowControl w:val="0"/>
        <w:autoSpaceDE w:val="0"/>
        <w:autoSpaceDN w:val="0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</w:p>
    <w:p w:rsidR="001B715C" w:rsidRDefault="00472460">
      <w:pPr>
        <w:spacing w:after="36" w:line="253" w:lineRule="auto"/>
        <w:ind w:left="-142" w:right="161" w:firstLine="830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</w:t>
      </w:r>
      <w:r>
        <w:rPr>
          <w:rFonts w:ascii="Times New Roman" w:eastAsia="Times New Roman" w:hAnsi="Times New Roman"/>
          <w:color w:val="000000"/>
          <w:sz w:val="28"/>
          <w:szCs w:val="28"/>
        </w:rPr>
        <w:t>енных мной конкурсных материалов.</w:t>
      </w:r>
    </w:p>
    <w:p w:rsidR="001B715C" w:rsidRDefault="001B71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B715C" w:rsidRDefault="001B715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  <w:sectPr w:rsidR="001B715C">
          <w:pgSz w:w="16838" w:h="11906" w:orient="landscape"/>
          <w:pgMar w:top="1418" w:right="1276" w:bottom="567" w:left="1135" w:header="0" w:footer="0" w:gutter="0"/>
          <w:cols w:space="720"/>
          <w:docGrid w:linePitch="360"/>
        </w:sectPr>
      </w:pPr>
    </w:p>
    <w:p w:rsidR="001B715C" w:rsidRDefault="004724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Приложение 2 </w:t>
      </w:r>
    </w:p>
    <w:p w:rsidR="001B715C" w:rsidRDefault="00472460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СОГЛАСИЕ</w:t>
      </w: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родителя (законного представителя)</w:t>
      </w: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на обработку и передачу персональных данных</w:t>
      </w: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участника Всероссийской научно-практической конференции </w:t>
      </w: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  <w:szCs w:val="28"/>
        </w:rPr>
        <w:t>«Науки юношей питают»</w:t>
      </w:r>
    </w:p>
    <w:p w:rsidR="001B715C" w:rsidRDefault="0047246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1B715C" w:rsidRDefault="0047246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(фамилия имя отчество (при наличии) родителя (законного представителя))</w:t>
      </w:r>
    </w:p>
    <w:p w:rsidR="001B715C" w:rsidRDefault="0047246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Паспорт: серия номер, кем и когда выдан:</w:t>
      </w:r>
    </w:p>
    <w:p w:rsidR="001B715C" w:rsidRDefault="0047246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B715C" w:rsidRDefault="0047246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</w:t>
      </w:r>
    </w:p>
    <w:p w:rsidR="001B715C" w:rsidRDefault="0047246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проживающий (ая) по адресу: _______________________________________________________________________</w:t>
      </w:r>
    </w:p>
    <w:p w:rsidR="001B715C" w:rsidRDefault="0047246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даю согласие БОУ ВО «Вологодская кадетская школа-интернат им. Белозерского</w:t>
      </w:r>
      <w:r>
        <w:rPr>
          <w:rFonts w:ascii="Times New Roman" w:hAnsi="Times New Roman"/>
          <w:sz w:val="26"/>
          <w:szCs w:val="26"/>
        </w:rPr>
        <w:t xml:space="preserve"> полка» на обработку и передачу персональных данных сына (дочери), включающих фамилию, имя, отчество (при наличии), наименование образовательной организации, номер контактного телефона, электронный адрес.</w:t>
      </w:r>
    </w:p>
    <w:p w:rsidR="001B715C" w:rsidRDefault="0047246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Согласие на обработку и передачу персональн</w:t>
      </w:r>
      <w:r>
        <w:rPr>
          <w:rFonts w:ascii="Times New Roman" w:hAnsi="Times New Roman"/>
          <w:sz w:val="26"/>
          <w:szCs w:val="26"/>
        </w:rPr>
        <w:t xml:space="preserve">ых данных предоставлено с целью участия во Всероссийской научно-практической конференции </w:t>
      </w:r>
    </w:p>
    <w:p w:rsidR="001B715C" w:rsidRDefault="0047246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«Науки юношей питают» (далее – конференция). Настоящим согласием предоставляю право на осуществление сбора, систематизации, накопления, передачи для рассмотрения орга</w:t>
      </w:r>
      <w:r>
        <w:rPr>
          <w:rFonts w:ascii="Times New Roman" w:hAnsi="Times New Roman"/>
          <w:sz w:val="26"/>
          <w:szCs w:val="26"/>
        </w:rPr>
        <w:t xml:space="preserve">низационным комитетом заключительного этапа конференции,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 </w:t>
      </w:r>
      <w:r>
        <w:rPr>
          <w:rFonts w:ascii="Times New Roman" w:hAnsi="Times New Roman"/>
          <w:sz w:val="26"/>
          <w:szCs w:val="26"/>
        </w:rPr>
        <w:t>(при наличии), наименовании образовательной организации в средствах массовой организации, на официальных сайтах органов исполнительной государственной власти области в информационной телекоммуникационной сети Интернет.</w:t>
      </w:r>
    </w:p>
    <w:p w:rsidR="001B715C" w:rsidRDefault="0047246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Настоящее согласие действует: </w:t>
      </w:r>
      <w:r>
        <w:rPr>
          <w:rFonts w:ascii="Times New Roman" w:hAnsi="Times New Roman"/>
          <w:sz w:val="26"/>
          <w:szCs w:val="26"/>
        </w:rPr>
        <w:t xml:space="preserve">на период проведения конференции; на период размещения в средствах массовой организации, на официальных сайтах органов исполнительной государственной власти области информации о результатах конференции; на период хранения моих персональных данных в архиве </w:t>
      </w:r>
      <w:r>
        <w:rPr>
          <w:rFonts w:ascii="Times New Roman" w:hAnsi="Times New Roman"/>
          <w:sz w:val="26"/>
          <w:szCs w:val="26"/>
        </w:rPr>
        <w:t>органов исполнительной государственной власти области вместе с документами по конференции до их уничтожения.</w:t>
      </w:r>
    </w:p>
    <w:p w:rsidR="001B715C" w:rsidRDefault="00472460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___________________        ________________________                ________________</w:t>
      </w:r>
    </w:p>
    <w:p w:rsidR="001B715C" w:rsidRDefault="0047246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(дата)                                       </w:t>
      </w:r>
      <w:r>
        <w:rPr>
          <w:rFonts w:ascii="Times New Roman" w:hAnsi="Times New Roman"/>
        </w:rPr>
        <w:t xml:space="preserve">     (подпись)                                               (расшифровка)                                                                  </w:t>
      </w:r>
    </w:p>
    <w:p w:rsidR="001B715C" w:rsidRDefault="001B715C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1B715C" w:rsidRDefault="0047246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3</w:t>
      </w:r>
    </w:p>
    <w:p w:rsidR="001B715C" w:rsidRDefault="00472460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Положению</w:t>
      </w:r>
    </w:p>
    <w:p w:rsidR="001B715C" w:rsidRDefault="001B71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Критерии оценивания конкурсных работ</w:t>
      </w:r>
    </w:p>
    <w:p w:rsidR="001B715C" w:rsidRDefault="001B71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6379"/>
        <w:gridCol w:w="1559"/>
      </w:tblGrid>
      <w:tr w:rsidR="001B715C">
        <w:trPr>
          <w:trHeight w:val="143"/>
        </w:trPr>
        <w:tc>
          <w:tcPr>
            <w:tcW w:w="2410" w:type="dxa"/>
            <w:shd w:val="clear" w:color="FFFFFF" w:fill="FFFFFF"/>
          </w:tcPr>
          <w:p w:rsidR="001B715C" w:rsidRDefault="004724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Критерии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Показатели 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Индикаторы </w:t>
            </w:r>
          </w:p>
          <w:p w:rsidR="001B715C" w:rsidRDefault="0047246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(в баллах)</w:t>
            </w:r>
          </w:p>
        </w:tc>
      </w:tr>
      <w:tr w:rsidR="001B715C">
        <w:trPr>
          <w:trHeight w:val="143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1.Структура исследовательской работы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Титульный лист; содержание; введение с обоснованием проблемы и постановкой задач, предметом и объектом исследования, выдвижением идей, гипотезы исследования; основная часть; заключение; список литературы и других источн</w:t>
            </w:r>
            <w:r>
              <w:rPr>
                <w:rFonts w:ascii="Times New Roman" w:hAnsi="Times New Roman"/>
              </w:rPr>
              <w:t>иков; приложения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Основные требования выполнены не в полной мере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Отсутствует стройность и последовательность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B715C">
        <w:trPr>
          <w:trHeight w:val="143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2.Актуальность 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направлена на освещение малоизученных вопросов, значительно дополняет и расширяет известные разработки; может быть </w:t>
            </w:r>
            <w:r>
              <w:rPr>
                <w:rFonts w:ascii="Times New Roman" w:hAnsi="Times New Roman"/>
              </w:rPr>
              <w:t>связана с внедрением новых технологий, экономичных способов производства, совершенствованием социальной сферы, экологической безопасности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повторяет известные работы и разработки, отдельные аспекты представляют интерес для рассмотрения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Тема </w:t>
            </w:r>
            <w:r>
              <w:rPr>
                <w:rFonts w:ascii="Times New Roman" w:hAnsi="Times New Roman"/>
              </w:rPr>
              <w:t>актуальна только для самого автора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B715C">
        <w:trPr>
          <w:trHeight w:val="143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3.Новизна 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Качественно новое знание, полученное в результате исследования, оригинальное решение задачи, научное опровержение известных положений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Новое представление или новое видение известной проблемы на основе </w:t>
            </w:r>
            <w:r>
              <w:rPr>
                <w:rFonts w:ascii="Times New Roman" w:hAnsi="Times New Roman"/>
              </w:rPr>
              <w:t>анализа или обобщения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Новое изложение, решение отдельных вопросов, частных сторон, частных задач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B715C">
        <w:trPr>
          <w:trHeight w:val="143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4.Элемент исследования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Полный цикл исследования, включающий подготовку плана исследования, работу с архивом, натурные наблюдения или проведение </w:t>
            </w:r>
            <w:r>
              <w:rPr>
                <w:rFonts w:ascii="Times New Roman" w:hAnsi="Times New Roman"/>
              </w:rPr>
              <w:t>эксперимента, обработку и анализ полученного материала, создание нового продукта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Исследование с привлечением первичных наблюдений, выполненных другими авторами, собственная обработка, анализ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Исследование, проведенное на основе литературных </w:t>
            </w:r>
            <w:r>
              <w:rPr>
                <w:rFonts w:ascii="Times New Roman" w:hAnsi="Times New Roman"/>
              </w:rPr>
              <w:t>источников, опубликованных работ и т.д.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Имеются элементы исследования или обобщения, реферативная работа со свертыванием известной информации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Элементарная компилятивная* работа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B715C">
        <w:trPr>
          <w:trHeight w:val="143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5.Достижения автора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Собственная постановка проблемы или задачи, непо</w:t>
            </w:r>
            <w:r>
              <w:rPr>
                <w:rFonts w:ascii="Times New Roman" w:hAnsi="Times New Roman"/>
              </w:rPr>
              <w:t>средственное участие в эксперименте или разработке вопросов, глубокая проработка имеющихся источников, достоверность полученных фактов, доказательность результатов, использование аналитических методов и т.д.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Собственная разработка отдельных вопросов, </w:t>
            </w:r>
            <w:r>
              <w:rPr>
                <w:rFonts w:ascii="Times New Roman" w:hAnsi="Times New Roman"/>
              </w:rPr>
              <w:t>выполнение анализа по заданию руководителя, глубокая проработка имеющихся источников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Усвоение и ретрансляция знаний сверх учебной программы, достаточное представление о предыдущих достижениях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Общее или слабое ориентирование в заданной области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B715C">
        <w:trPr>
          <w:trHeight w:val="611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6.Практическая значимость работы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может быть рекомендована для публикации, использована в практической деятельности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Может быть использована для последующей научной деятельности автора, в работе школьного научного объединения, служить в качестве </w:t>
            </w:r>
            <w:r>
              <w:rPr>
                <w:rFonts w:ascii="Times New Roman" w:hAnsi="Times New Roman"/>
              </w:rPr>
              <w:t>учебного пособия, экспоната выставок и т.д.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 частично прикладной характер, имеет значение только для автора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B715C">
        <w:trPr>
          <w:trHeight w:val="1100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7.Соблюдение требований к оформлению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Соблюдены все общие требования к оформлению текста (поля, шрифт, заголовки, цитаты, таблицы, рисунки, формулы, сокращения), списка литературы и иных источников, приложений 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Общие требования, в основном, соблюдены, имеются незначительные замечания к </w:t>
            </w:r>
            <w:r>
              <w:rPr>
                <w:rFonts w:ascii="Times New Roman" w:hAnsi="Times New Roman"/>
              </w:rPr>
              <w:t>оформлению текста, списка литературы и иных источников, приложений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Имеются существенные отклонения от требований к оформлению 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B715C">
        <w:trPr>
          <w:trHeight w:val="534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8.Качество выступления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Выразительное, логичное, компактное, с элементами риторики, имеет навыки публичного выступления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Упорядоченное, более или менее связанное, но лексика маловыразительная; допускаются паузы, обращение к тексту доклада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зачитывается по подготовленному тексту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B715C">
        <w:trPr>
          <w:trHeight w:val="1100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9.Умение отвечать на вопросы оппонентов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Приводит доказательства, факты, не прозвучавшие во время выступления, приводит анализ альтернативных точек зрения, кратко, но доказательно отвечает на вопросы, задает встречные вопросы для уточнения 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Теряется при ответе на вопросы, отвечает по </w:t>
            </w:r>
            <w:r>
              <w:rPr>
                <w:rFonts w:ascii="Times New Roman" w:hAnsi="Times New Roman"/>
              </w:rPr>
              <w:t>наводящим вопросам, с трудом делает самостоятельные выводы, подыскивает аргументы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трудом отвечает на наводящие вопросы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1B715C">
        <w:trPr>
          <w:trHeight w:val="1084"/>
        </w:trPr>
        <w:tc>
          <w:tcPr>
            <w:tcW w:w="2410" w:type="dxa"/>
            <w:vMerge w:val="restart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10.Наглядность представления исследования</w:t>
            </w:r>
          </w:p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Выступление сопровождается качественной презентацией, текст выступления не совпадает с</w:t>
            </w:r>
            <w:r>
              <w:rPr>
                <w:rFonts w:ascii="Times New Roman" w:hAnsi="Times New Roman"/>
              </w:rPr>
              <w:t xml:space="preserve"> надписями на слайдах, представлены графики, схемы, таблицы, диаграммы, фотоматериалы, карты и т.д.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Маловыразительная, малоинформативная наглядность, выступление дублирует текст слайдов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1B715C">
        <w:trPr>
          <w:trHeight w:val="143"/>
        </w:trPr>
        <w:tc>
          <w:tcPr>
            <w:tcW w:w="2410" w:type="dxa"/>
            <w:vMerge/>
            <w:shd w:val="clear" w:color="FFFFFF" w:fill="FFFFFF"/>
          </w:tcPr>
          <w:p w:rsidR="001B715C" w:rsidRDefault="001B715C"/>
        </w:tc>
        <w:tc>
          <w:tcPr>
            <w:tcW w:w="637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неэффективная</w:t>
            </w:r>
          </w:p>
        </w:tc>
        <w:tc>
          <w:tcPr>
            <w:tcW w:w="1559" w:type="dxa"/>
            <w:shd w:val="clear" w:color="FFFFFF" w:fill="FFFFFF"/>
          </w:tcPr>
          <w:p w:rsidR="001B715C" w:rsidRDefault="0047246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</w:tbl>
    <w:p w:rsidR="001B715C" w:rsidRDefault="001B715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715C" w:rsidRDefault="00472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в баллах:</w:t>
      </w:r>
    </w:p>
    <w:p w:rsidR="001B715C" w:rsidRDefault="00472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максимальный результат 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–</w:t>
      </w:r>
      <w:r>
        <w:rPr>
          <w:rFonts w:ascii="Times New Roman" w:hAnsi="Times New Roman"/>
          <w:sz w:val="28"/>
          <w:szCs w:val="28"/>
        </w:rPr>
        <w:t xml:space="preserve"> 34 балл</w:t>
      </w:r>
      <w:r w:rsidR="004F1AC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;</w:t>
      </w:r>
    </w:p>
    <w:p w:rsidR="001B715C" w:rsidRDefault="0047246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минимальный результат 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 xml:space="preserve">– </w:t>
      </w:r>
      <w:r>
        <w:rPr>
          <w:rFonts w:ascii="Times New Roman" w:hAnsi="Times New Roman"/>
          <w:sz w:val="28"/>
          <w:szCs w:val="28"/>
        </w:rPr>
        <w:t>10 баллов.</w:t>
      </w:r>
    </w:p>
    <w:p w:rsidR="001B715C" w:rsidRDefault="004724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>Приложение 2 к приказу</w:t>
      </w:r>
    </w:p>
    <w:p w:rsidR="001B715C" w:rsidRDefault="00472460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1B715C" w:rsidRDefault="009E07DA" w:rsidP="009E07DA">
      <w:pPr>
        <w:tabs>
          <w:tab w:val="left" w:pos="6825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ahoma" w:hAnsi="Times New Roman"/>
          <w:color w:val="000000"/>
          <w:sz w:val="28"/>
          <w:szCs w:val="28"/>
          <w:lang w:eastAsia="ru-RU"/>
        </w:rPr>
        <w:t xml:space="preserve">от 05.02.2024 № 76-ОД  </w:t>
      </w:r>
    </w:p>
    <w:p w:rsidR="001B715C" w:rsidRDefault="00472460">
      <w:pPr>
        <w:tabs>
          <w:tab w:val="left" w:pos="682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</w:t>
      </w:r>
    </w:p>
    <w:p w:rsidR="001B715C" w:rsidRDefault="0047246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муниципального этапа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XIII Всероссийской научно-практической конференции с международным участием</w:t>
      </w:r>
    </w:p>
    <w:p w:rsidR="001B715C" w:rsidRDefault="004724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«Науки юношей питают» </w:t>
      </w:r>
    </w:p>
    <w:p w:rsidR="001B715C" w:rsidRDefault="001B71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B715C" w:rsidRDefault="004724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Коряковская Татьяна Владимировна – менеджер управления образования администрации Великоустюгского муниципального округа.</w:t>
      </w:r>
    </w:p>
    <w:p w:rsidR="001B715C" w:rsidRDefault="004724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Рожин Алексей Геннадьевич – инженер ООО «Солярис-копьютерс».</w:t>
      </w:r>
    </w:p>
    <w:p w:rsidR="001B715C" w:rsidRDefault="004724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Вологина Ирина Геннадьевна – научный сотрудник инф</w:t>
      </w:r>
      <w:r>
        <w:rPr>
          <w:rFonts w:ascii="Times New Roman" w:hAnsi="Times New Roman"/>
          <w:bCs/>
          <w:color w:val="000000"/>
          <w:sz w:val="28"/>
          <w:szCs w:val="28"/>
        </w:rPr>
        <w:t>ормационно-просветительского отдела Великоустюгского историко-архитектурного и художественного музея – заповедника.</w:t>
      </w:r>
    </w:p>
    <w:p w:rsidR="001B715C" w:rsidRDefault="001B715C">
      <w:pPr>
        <w:tabs>
          <w:tab w:val="left" w:pos="682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B715C" w:rsidRDefault="001B715C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B715C">
      <w:pgSz w:w="11906" w:h="16838"/>
      <w:pgMar w:top="964" w:right="624" w:bottom="567" w:left="1219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2460" w:rsidRDefault="00472460">
      <w:pPr>
        <w:spacing w:line="240" w:lineRule="auto"/>
      </w:pPr>
      <w:r>
        <w:separator/>
      </w:r>
    </w:p>
  </w:endnote>
  <w:endnote w:type="continuationSeparator" w:id="0">
    <w:p w:rsidR="00472460" w:rsidRDefault="00472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Gothic"/>
    <w:charset w:val="80"/>
    <w:family w:val="auto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2460" w:rsidRDefault="00472460">
      <w:pPr>
        <w:spacing w:after="0"/>
      </w:pPr>
      <w:r>
        <w:separator/>
      </w:r>
    </w:p>
  </w:footnote>
  <w:footnote w:type="continuationSeparator" w:id="0">
    <w:p w:rsidR="00472460" w:rsidRDefault="004724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291CA7"/>
    <w:multiLevelType w:val="multilevel"/>
    <w:tmpl w:val="2E291CA7"/>
    <w:lvl w:ilvl="0">
      <w:start w:val="1"/>
      <w:numFmt w:val="decimal"/>
      <w:lvlText w:val="%1."/>
      <w:lvlJc w:val="left"/>
      <w:pPr>
        <w:ind w:left="1018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738" w:hanging="360"/>
      </w:pPr>
    </w:lvl>
    <w:lvl w:ilvl="2">
      <w:start w:val="1"/>
      <w:numFmt w:val="lowerRoman"/>
      <w:lvlText w:val="%3."/>
      <w:lvlJc w:val="right"/>
      <w:pPr>
        <w:ind w:left="2458" w:hanging="180"/>
      </w:pPr>
    </w:lvl>
    <w:lvl w:ilvl="3">
      <w:start w:val="1"/>
      <w:numFmt w:val="decimal"/>
      <w:lvlText w:val="%4."/>
      <w:lvlJc w:val="left"/>
      <w:pPr>
        <w:ind w:left="3178" w:hanging="360"/>
      </w:pPr>
    </w:lvl>
    <w:lvl w:ilvl="4">
      <w:start w:val="1"/>
      <w:numFmt w:val="lowerLetter"/>
      <w:lvlText w:val="%5."/>
      <w:lvlJc w:val="left"/>
      <w:pPr>
        <w:ind w:left="3898" w:hanging="360"/>
      </w:pPr>
    </w:lvl>
    <w:lvl w:ilvl="5">
      <w:start w:val="1"/>
      <w:numFmt w:val="lowerRoman"/>
      <w:lvlText w:val="%6."/>
      <w:lvlJc w:val="right"/>
      <w:pPr>
        <w:ind w:left="4618" w:hanging="180"/>
      </w:pPr>
    </w:lvl>
    <w:lvl w:ilvl="6">
      <w:start w:val="1"/>
      <w:numFmt w:val="decimal"/>
      <w:lvlText w:val="%7."/>
      <w:lvlJc w:val="left"/>
      <w:pPr>
        <w:ind w:left="5338" w:hanging="360"/>
      </w:pPr>
    </w:lvl>
    <w:lvl w:ilvl="7">
      <w:start w:val="1"/>
      <w:numFmt w:val="lowerLetter"/>
      <w:lvlText w:val="%8."/>
      <w:lvlJc w:val="left"/>
      <w:pPr>
        <w:ind w:left="6058" w:hanging="360"/>
      </w:pPr>
    </w:lvl>
    <w:lvl w:ilvl="8">
      <w:start w:val="1"/>
      <w:numFmt w:val="lowerRoman"/>
      <w:lvlText w:val="%9."/>
      <w:lvlJc w:val="right"/>
      <w:pPr>
        <w:ind w:left="6778" w:hanging="180"/>
      </w:pPr>
    </w:lvl>
  </w:abstractNum>
  <w:abstractNum w:abstractNumId="1">
    <w:nsid w:val="5BAD35D7"/>
    <w:multiLevelType w:val="multilevel"/>
    <w:tmpl w:val="5BAD35D7"/>
    <w:lvl w:ilvl="0">
      <w:start w:val="3"/>
      <w:numFmt w:val="decimal"/>
      <w:lvlText w:val="%1."/>
      <w:lvlJc w:val="left"/>
      <w:pPr>
        <w:tabs>
          <w:tab w:val="left" w:pos="0"/>
        </w:tabs>
        <w:ind w:left="3763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F93"/>
    <w:rsid w:val="00010F93"/>
    <w:rsid w:val="00026334"/>
    <w:rsid w:val="000328DA"/>
    <w:rsid w:val="000361BA"/>
    <w:rsid w:val="00042451"/>
    <w:rsid w:val="00066798"/>
    <w:rsid w:val="000D7D4D"/>
    <w:rsid w:val="00121B8A"/>
    <w:rsid w:val="00125900"/>
    <w:rsid w:val="00141639"/>
    <w:rsid w:val="00143CAE"/>
    <w:rsid w:val="001659B2"/>
    <w:rsid w:val="00167046"/>
    <w:rsid w:val="001B715C"/>
    <w:rsid w:val="002936AD"/>
    <w:rsid w:val="002C750D"/>
    <w:rsid w:val="002D001A"/>
    <w:rsid w:val="00383480"/>
    <w:rsid w:val="003A3304"/>
    <w:rsid w:val="0040791B"/>
    <w:rsid w:val="0043376A"/>
    <w:rsid w:val="00472460"/>
    <w:rsid w:val="004B2E12"/>
    <w:rsid w:val="004B39FC"/>
    <w:rsid w:val="004F1ACF"/>
    <w:rsid w:val="00581658"/>
    <w:rsid w:val="005F7D28"/>
    <w:rsid w:val="006034F8"/>
    <w:rsid w:val="00633C2F"/>
    <w:rsid w:val="006D69B3"/>
    <w:rsid w:val="0071559B"/>
    <w:rsid w:val="007925E9"/>
    <w:rsid w:val="007B2508"/>
    <w:rsid w:val="007F0284"/>
    <w:rsid w:val="007F6F9A"/>
    <w:rsid w:val="00831C13"/>
    <w:rsid w:val="00856A65"/>
    <w:rsid w:val="00885B96"/>
    <w:rsid w:val="00900104"/>
    <w:rsid w:val="0095096E"/>
    <w:rsid w:val="00994A5C"/>
    <w:rsid w:val="009C27ED"/>
    <w:rsid w:val="009D250D"/>
    <w:rsid w:val="009E07DA"/>
    <w:rsid w:val="00A22122"/>
    <w:rsid w:val="00A30779"/>
    <w:rsid w:val="00A66B84"/>
    <w:rsid w:val="00AB2109"/>
    <w:rsid w:val="00AD1CA0"/>
    <w:rsid w:val="00AD3249"/>
    <w:rsid w:val="00B043CE"/>
    <w:rsid w:val="00B04DEC"/>
    <w:rsid w:val="00BB1A6D"/>
    <w:rsid w:val="00BE1008"/>
    <w:rsid w:val="00BE7FBB"/>
    <w:rsid w:val="00C0730D"/>
    <w:rsid w:val="00C0777E"/>
    <w:rsid w:val="00C802DC"/>
    <w:rsid w:val="00CF2855"/>
    <w:rsid w:val="00D210AE"/>
    <w:rsid w:val="00D62AE1"/>
    <w:rsid w:val="00D678CF"/>
    <w:rsid w:val="00D90FA1"/>
    <w:rsid w:val="00D9169F"/>
    <w:rsid w:val="00E66314"/>
    <w:rsid w:val="00E7153D"/>
    <w:rsid w:val="00EB59AE"/>
    <w:rsid w:val="00EF127A"/>
    <w:rsid w:val="00F1463E"/>
    <w:rsid w:val="00F57C0A"/>
    <w:rsid w:val="00FA5AAF"/>
    <w:rsid w:val="00FA6899"/>
    <w:rsid w:val="00FE627F"/>
    <w:rsid w:val="09A76B43"/>
    <w:rsid w:val="1BC36B1F"/>
    <w:rsid w:val="1D3103B8"/>
    <w:rsid w:val="494068E8"/>
    <w:rsid w:val="7C3D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C859EA-5799-4B3A-B28E-A92169B1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 w:qFormat="1"/>
    <w:lsdException w:name="endnote text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uiPriority w:val="99"/>
    <w:unhideWhenUsed/>
    <w:qFormat/>
    <w:rPr>
      <w:vertAlign w:val="superscript"/>
    </w:rPr>
  </w:style>
  <w:style w:type="character" w:styleId="a5">
    <w:name w:val="Hyperlink"/>
    <w:qFormat/>
    <w:rPr>
      <w:color w:val="0000FF"/>
      <w:u w:val="single"/>
    </w:rPr>
  </w:style>
  <w:style w:type="paragraph" w:styleId="a6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unhideWhenUsed/>
    <w:qFormat/>
    <w:pPr>
      <w:spacing w:after="0" w:line="240" w:lineRule="auto"/>
    </w:pPr>
    <w:rPr>
      <w:sz w:val="20"/>
    </w:rPr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a">
    <w:name w:val="footnote text"/>
    <w:basedOn w:val="a"/>
    <w:link w:val="ab"/>
    <w:uiPriority w:val="99"/>
    <w:unhideWhenUsed/>
    <w:qFormat/>
    <w:pPr>
      <w:spacing w:after="40" w:line="240" w:lineRule="auto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7143"/>
        <w:tab w:val="right" w:pos="14287"/>
      </w:tabs>
      <w:spacing w:after="0" w:line="240" w:lineRule="auto"/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e">
    <w:name w:val="Body Text"/>
    <w:basedOn w:val="a"/>
    <w:qFormat/>
    <w:pPr>
      <w:spacing w:after="140"/>
    </w:p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">
    <w:name w:val="table of figures"/>
    <w:basedOn w:val="a"/>
    <w:next w:val="a"/>
    <w:uiPriority w:val="99"/>
    <w:unhideWhenUsed/>
    <w:qFormat/>
    <w:pPr>
      <w:spacing w:after="0"/>
    </w:pPr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af0">
    <w:name w:val="Title"/>
    <w:basedOn w:val="a"/>
    <w:next w:val="a"/>
    <w:link w:val="af1"/>
    <w:uiPriority w:val="10"/>
    <w:qFormat/>
    <w:pPr>
      <w:spacing w:before="300"/>
      <w:contextualSpacing/>
    </w:pPr>
    <w:rPr>
      <w:sz w:val="48"/>
      <w:szCs w:val="48"/>
    </w:rPr>
  </w:style>
  <w:style w:type="paragraph" w:styleId="af2">
    <w:name w:val="footer"/>
    <w:basedOn w:val="a"/>
    <w:link w:val="af3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List"/>
    <w:basedOn w:val="ae"/>
  </w:style>
  <w:style w:type="paragraph" w:styleId="af5">
    <w:name w:val="Normal (Web)"/>
    <w:uiPriority w:val="99"/>
    <w:unhideWhenUsed/>
    <w:pPr>
      <w:spacing w:before="100" w:beforeAutospacing="1" w:after="100" w:afterAutospacing="1"/>
    </w:pPr>
    <w:rPr>
      <w:sz w:val="24"/>
      <w:szCs w:val="24"/>
      <w:lang w:val="en-US" w:eastAsia="zh-CN"/>
    </w:rPr>
  </w:style>
  <w:style w:type="paragraph" w:styleId="af6">
    <w:name w:val="Subtitle"/>
    <w:basedOn w:val="a"/>
    <w:next w:val="a"/>
    <w:link w:val="af7"/>
    <w:uiPriority w:val="11"/>
    <w:qFormat/>
    <w:pPr>
      <w:spacing w:before="200"/>
    </w:pPr>
    <w:rPr>
      <w:sz w:val="24"/>
      <w:szCs w:val="24"/>
    </w:rPr>
  </w:style>
  <w:style w:type="table" w:styleId="af8">
    <w:name w:val="Table Grid"/>
    <w:uiPriority w:val="59"/>
    <w:qFormat/>
    <w:rPr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8">
    <w:name w:val="Текст концевой сноски Знак"/>
    <w:link w:val="a7"/>
    <w:uiPriority w:val="99"/>
    <w:rPr>
      <w:sz w:val="20"/>
    </w:rPr>
  </w:style>
  <w:style w:type="character" w:customStyle="1" w:styleId="ab">
    <w:name w:val="Текст сноски Знак"/>
    <w:link w:val="aa"/>
    <w:uiPriority w:val="99"/>
    <w:qFormat/>
    <w:rPr>
      <w:sz w:val="18"/>
    </w:rPr>
  </w:style>
  <w:style w:type="character" w:customStyle="1" w:styleId="ad">
    <w:name w:val="Верхний колонтитул Знак"/>
    <w:link w:val="ac"/>
    <w:uiPriority w:val="99"/>
    <w:qFormat/>
  </w:style>
  <w:style w:type="character" w:customStyle="1" w:styleId="af1">
    <w:name w:val="Название Знак"/>
    <w:link w:val="af0"/>
    <w:uiPriority w:val="10"/>
    <w:qFormat/>
    <w:rPr>
      <w:sz w:val="48"/>
      <w:szCs w:val="48"/>
    </w:rPr>
  </w:style>
  <w:style w:type="character" w:customStyle="1" w:styleId="af3">
    <w:name w:val="Нижний колонтитул Знак"/>
    <w:link w:val="af2"/>
    <w:uiPriority w:val="99"/>
  </w:style>
  <w:style w:type="character" w:customStyle="1" w:styleId="af7">
    <w:name w:val="Подзаголовок Знак"/>
    <w:link w:val="af6"/>
    <w:uiPriority w:val="11"/>
    <w:qFormat/>
    <w:rPr>
      <w:sz w:val="24"/>
      <w:szCs w:val="24"/>
    </w:rPr>
  </w:style>
  <w:style w:type="paragraph" w:styleId="af9">
    <w:name w:val="List Paragraph"/>
    <w:basedOn w:val="a"/>
    <w:qFormat/>
    <w:pPr>
      <w:ind w:left="720"/>
      <w:contextualSpacing/>
    </w:pPr>
  </w:style>
  <w:style w:type="paragraph" w:styleId="afa">
    <w:name w:val="No Spacing"/>
    <w:uiPriority w:val="1"/>
    <w:qFormat/>
    <w:rPr>
      <w:sz w:val="24"/>
      <w:szCs w:val="24"/>
      <w:lang w:val="en-US" w:eastAsia="zh-CN" w:bidi="hi-IN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fb">
    <w:name w:val="Intense Quote"/>
    <w:basedOn w:val="a"/>
    <w:next w:val="a"/>
    <w:link w:val="af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c">
    <w:name w:val="Выделенная цитата Знак"/>
    <w:link w:val="afb"/>
    <w:uiPriority w:val="30"/>
    <w:qFormat/>
    <w:rPr>
      <w:i/>
    </w:rPr>
  </w:style>
  <w:style w:type="character" w:customStyle="1" w:styleId="FooterChar">
    <w:name w:val="Footer Char"/>
    <w:uiPriority w:val="99"/>
    <w:qFormat/>
  </w:style>
  <w:style w:type="table" w:customStyle="1" w:styleId="TableGridLight">
    <w:name w:val="Table Grid Light"/>
    <w:uiPriority w:val="59"/>
    <w:qFormat/>
    <w:rPr>
      <w:sz w:val="24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qFormat/>
    <w:rPr>
      <w:sz w:val="24"/>
      <w:szCs w:val="24"/>
      <w:lang w:val="en-US" w:eastAsia="zh-CN" w:bidi="hi-I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qFormat/>
    <w:rPr>
      <w:sz w:val="24"/>
      <w:szCs w:val="24"/>
      <w:lang w:val="en-US" w:eastAsia="zh-CN" w:bidi="hi-I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qFormat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qFormat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qFormat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sz w:val="24"/>
      <w:szCs w:val="24"/>
      <w:lang w:val="en-US" w:eastAsia="zh-CN" w:bidi="hi-IN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Pr>
      <w:sz w:val="24"/>
      <w:szCs w:val="24"/>
      <w:lang w:val="en-US" w:eastAsia="zh-CN" w:bidi="hi-I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qFormat/>
    <w:rPr>
      <w:sz w:val="24"/>
      <w:szCs w:val="24"/>
      <w:lang w:val="en-US" w:eastAsia="zh-CN" w:bidi="hi-IN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sz w:val="24"/>
      <w:szCs w:val="24"/>
      <w:lang w:val="en-US" w:eastAsia="zh-CN" w:bidi="hi-IN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sz w:val="24"/>
      <w:szCs w:val="24"/>
      <w:lang w:val="en-US" w:eastAsia="zh-CN" w:bidi="hi-IN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qFormat/>
    <w:rPr>
      <w:sz w:val="24"/>
      <w:szCs w:val="24"/>
      <w:lang w:val="en-US" w:eastAsia="zh-CN" w:bidi="hi-IN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qFormat/>
    <w:rPr>
      <w:sz w:val="24"/>
      <w:szCs w:val="24"/>
      <w:lang w:val="en-US" w:eastAsia="zh-CN" w:bidi="hi-IN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qFormat/>
    <w:rPr>
      <w:sz w:val="24"/>
      <w:szCs w:val="24"/>
      <w:lang w:val="en-US" w:eastAsia="zh-CN" w:bidi="hi-IN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qFormat/>
    <w:rPr>
      <w:sz w:val="24"/>
      <w:szCs w:val="24"/>
      <w:lang w:val="en-US" w:eastAsia="zh-CN" w:bidi="hi-IN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BFBFBF" w:fill="BFBFBF"/>
    </w:tcPr>
  </w:style>
  <w:style w:type="table" w:customStyle="1" w:styleId="GridTable5Dark-Accent1">
    <w:name w:val="Grid Table 5 Dark- Accent 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DAE5F1" w:fill="DAE5F1"/>
    </w:tcPr>
  </w:style>
  <w:style w:type="table" w:customStyle="1" w:styleId="GridTable5Dark-Accent2">
    <w:name w:val="Grid Table 5 Dark - Accent 2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F2DCDC" w:fill="F2DCDC"/>
    </w:tcPr>
  </w:style>
  <w:style w:type="table" w:customStyle="1" w:styleId="GridTable5Dark-Accent3">
    <w:name w:val="Grid Table 5 Dark - Accent 3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EAF1DC" w:fill="EAF1DC"/>
    </w:tcPr>
  </w:style>
  <w:style w:type="table" w:customStyle="1" w:styleId="GridTable5Dark-Accent4">
    <w:name w:val="Grid Table 5 Dark- Accent 4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E5DFEC" w:fill="E5DFEC"/>
    </w:tcPr>
  </w:style>
  <w:style w:type="table" w:customStyle="1" w:styleId="GridTable5Dark-Accent5">
    <w:name w:val="Grid Table 5 Dark - Accent 5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DAEEF3" w:fill="DAEEF3"/>
    </w:tcPr>
  </w:style>
  <w:style w:type="table" w:customStyle="1" w:styleId="GridTable5Dark-Accent6">
    <w:name w:val="Grid Table 5 Dark - Accent 6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FDE9D8" w:fill="FDE9D8"/>
    </w:tcPr>
  </w:style>
  <w:style w:type="table" w:customStyle="1" w:styleId="-61">
    <w:name w:val="Таблица-сетка 6 цветная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sz w:val="24"/>
      <w:szCs w:val="24"/>
      <w:lang w:val="en-US" w:eastAsia="zh-CN" w:bidi="hi-IN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sz w:val="24"/>
      <w:szCs w:val="24"/>
      <w:lang w:val="en-US" w:eastAsia="zh-CN" w:bidi="hi-IN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sz w:val="24"/>
      <w:szCs w:val="24"/>
      <w:lang w:val="en-US" w:eastAsia="zh-CN" w:bidi="hi-IN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qFormat/>
    <w:rPr>
      <w:sz w:val="24"/>
      <w:szCs w:val="24"/>
      <w:lang w:val="en-US" w:eastAsia="zh-CN" w:bidi="hi-IN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qFormat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qFormat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qFormat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qFormat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qFormat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sz w:val="24"/>
      <w:szCs w:val="24"/>
      <w:lang w:val="en-US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Pr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sz w:val="24"/>
      <w:szCs w:val="24"/>
      <w:lang w:val="en-US" w:eastAsia="zh-CN" w:bidi="hi-IN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qFormat/>
    <w:rPr>
      <w:sz w:val="24"/>
      <w:szCs w:val="24"/>
      <w:lang w:val="en-US" w:eastAsia="zh-CN" w:bidi="hi-IN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7F7F7F" w:fill="7F7F7F"/>
    </w:tcPr>
  </w:style>
  <w:style w:type="table" w:customStyle="1" w:styleId="ListTable5Dark-Accent1">
    <w:name w:val="List Table 5 Dark - Accent 1"/>
    <w:uiPriority w:val="99"/>
    <w:qFormat/>
    <w:rPr>
      <w:sz w:val="24"/>
      <w:szCs w:val="24"/>
      <w:lang w:val="en-US" w:eastAsia="zh-CN" w:bidi="hi-IN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4F81BD" w:fill="4F81BD"/>
    </w:tcPr>
  </w:style>
  <w:style w:type="table" w:customStyle="1" w:styleId="ListTable5Dark-Accent2">
    <w:name w:val="List Table 5 Dark - Accent 2"/>
    <w:uiPriority w:val="99"/>
    <w:qFormat/>
    <w:rPr>
      <w:sz w:val="24"/>
      <w:szCs w:val="24"/>
      <w:lang w:val="en-US" w:eastAsia="zh-CN" w:bidi="hi-IN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D99695" w:fill="D99695"/>
    </w:tcPr>
  </w:style>
  <w:style w:type="table" w:customStyle="1" w:styleId="ListTable5Dark-Accent3">
    <w:name w:val="List Table 5 Dark - Accent 3"/>
    <w:uiPriority w:val="99"/>
    <w:qFormat/>
    <w:rPr>
      <w:sz w:val="24"/>
      <w:szCs w:val="24"/>
      <w:lang w:val="en-US" w:eastAsia="zh-CN" w:bidi="hi-IN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C3D69B" w:fill="C3D69B"/>
    </w:tcPr>
  </w:style>
  <w:style w:type="table" w:customStyle="1" w:styleId="ListTable5Dark-Accent4">
    <w:name w:val="List Table 5 Dark - Accent 4"/>
    <w:uiPriority w:val="99"/>
    <w:qFormat/>
    <w:rPr>
      <w:sz w:val="24"/>
      <w:szCs w:val="24"/>
      <w:lang w:val="en-US" w:eastAsia="zh-CN" w:bidi="hi-IN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B2A1C6" w:fill="B2A1C6"/>
    </w:tcPr>
  </w:style>
  <w:style w:type="table" w:customStyle="1" w:styleId="ListTable5Dark-Accent5">
    <w:name w:val="List Table 5 Dark - Accent 5"/>
    <w:uiPriority w:val="99"/>
    <w:qFormat/>
    <w:rPr>
      <w:sz w:val="24"/>
      <w:szCs w:val="24"/>
      <w:lang w:val="en-US" w:eastAsia="zh-CN" w:bidi="hi-IN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92CCDC" w:fill="92CCDC"/>
    </w:tcPr>
  </w:style>
  <w:style w:type="table" w:customStyle="1" w:styleId="ListTable5Dark-Accent6">
    <w:name w:val="List Table 5 Dark - Accent 6"/>
    <w:uiPriority w:val="99"/>
    <w:qFormat/>
    <w:rPr>
      <w:sz w:val="24"/>
      <w:szCs w:val="24"/>
      <w:lang w:val="en-US" w:eastAsia="zh-CN" w:bidi="hi-IN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FAC090" w:fill="FAC090"/>
    </w:tcPr>
  </w:style>
  <w:style w:type="table" w:customStyle="1" w:styleId="-610">
    <w:name w:val="Список-таблица 6 цветная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sz w:val="24"/>
      <w:szCs w:val="24"/>
      <w:lang w:val="en-US" w:eastAsia="zh-CN" w:bidi="hi-IN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sz w:val="24"/>
      <w:szCs w:val="24"/>
      <w:lang w:val="en-US" w:eastAsia="zh-CN" w:bidi="hi-IN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sz w:val="24"/>
      <w:szCs w:val="24"/>
      <w:lang w:val="en-US" w:eastAsia="zh-CN" w:bidi="hi-IN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qFormat/>
    <w:rPr>
      <w:sz w:val="24"/>
      <w:szCs w:val="24"/>
      <w:lang w:val="en-US" w:eastAsia="zh-CN" w:bidi="hi-IN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sz w:val="24"/>
      <w:szCs w:val="24"/>
      <w:lang w:val="en-US" w:eastAsia="zh-CN" w:bidi="hi-IN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qFormat/>
    <w:rPr>
      <w:sz w:val="24"/>
      <w:szCs w:val="24"/>
      <w:lang w:val="en-US" w:eastAsia="zh-CN" w:bidi="hi-IN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qFormat/>
    <w:rPr>
      <w:sz w:val="24"/>
      <w:szCs w:val="24"/>
      <w:lang w:val="en-US" w:eastAsia="zh-CN" w:bidi="hi-IN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qFormat/>
    <w:rPr>
      <w:sz w:val="24"/>
      <w:szCs w:val="24"/>
      <w:lang w:val="en-US" w:eastAsia="zh-CN" w:bidi="hi-IN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qFormat/>
    <w:rPr>
      <w:sz w:val="24"/>
      <w:szCs w:val="24"/>
      <w:lang w:val="en-US" w:eastAsia="zh-CN" w:bidi="hi-IN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qFormat/>
    <w:rPr>
      <w:sz w:val="24"/>
      <w:szCs w:val="24"/>
      <w:lang w:val="en-US" w:eastAsia="zh-CN" w:bidi="hi-IN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qFormat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qFormat/>
    <w:rPr>
      <w:sz w:val="24"/>
      <w:szCs w:val="24"/>
      <w:lang w:val="en-US" w:eastAsia="zh-CN" w:bidi="hi-IN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sz w:val="24"/>
      <w:szCs w:val="24"/>
      <w:lang w:val="en-US" w:eastAsia="zh-CN" w:bidi="hi-IN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sz w:val="24"/>
      <w:szCs w:val="24"/>
      <w:lang w:val="en-US" w:eastAsia="zh-CN" w:bidi="hi-IN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оглавления1"/>
    <w:uiPriority w:val="39"/>
    <w:qFormat/>
    <w:rPr>
      <w:sz w:val="24"/>
      <w:szCs w:val="24"/>
      <w:lang w:val="en-US" w:eastAsia="zh-CN" w:bidi="hi-IN"/>
    </w:rPr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WW8Num2z0">
    <w:name w:val="WW8Num2z0"/>
    <w:qFormat/>
    <w:rPr>
      <w:rFonts w:ascii="Symbol" w:hAnsi="Symbol" w:cs="Symbol"/>
      <w:sz w:val="20"/>
    </w:rPr>
  </w:style>
  <w:style w:type="character" w:customStyle="1" w:styleId="WW8Num2z1">
    <w:name w:val="WW8Num2z1"/>
    <w:qFormat/>
    <w:rPr>
      <w:rFonts w:ascii="Courier New" w:hAnsi="Courier New" w:cs="Courier New"/>
      <w:sz w:val="20"/>
    </w:rPr>
  </w:style>
  <w:style w:type="character" w:customStyle="1" w:styleId="WW8Num2z2">
    <w:name w:val="WW8Num2z2"/>
    <w:qFormat/>
    <w:rPr>
      <w:rFonts w:ascii="Wingdings" w:hAnsi="Wingdings" w:cs="Wingdings"/>
      <w:sz w:val="20"/>
    </w:rPr>
  </w:style>
  <w:style w:type="character" w:customStyle="1" w:styleId="WW8Num3z0">
    <w:name w:val="WW8Num3z0"/>
    <w:qFormat/>
    <w:rPr>
      <w:rFonts w:ascii="Symbol" w:hAnsi="Symbol" w:cs="Symbol"/>
      <w:sz w:val="20"/>
    </w:rPr>
  </w:style>
  <w:style w:type="character" w:customStyle="1" w:styleId="WW8Num3z1">
    <w:name w:val="WW8Num3z1"/>
    <w:qFormat/>
    <w:rPr>
      <w:rFonts w:ascii="Courier New" w:hAnsi="Courier New" w:cs="Courier New"/>
      <w:sz w:val="20"/>
    </w:rPr>
  </w:style>
  <w:style w:type="character" w:customStyle="1" w:styleId="WW8Num3z2">
    <w:name w:val="WW8Num3z2"/>
    <w:qFormat/>
    <w:rPr>
      <w:rFonts w:ascii="Wingdings" w:hAnsi="Wingdings" w:cs="Wingdings"/>
      <w:sz w:val="20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Symbol" w:hAnsi="Symbol" w:cs="Symbol"/>
      <w:sz w:val="20"/>
    </w:rPr>
  </w:style>
  <w:style w:type="character" w:customStyle="1" w:styleId="WW8Num6z1">
    <w:name w:val="WW8Num6z1"/>
    <w:qFormat/>
    <w:rPr>
      <w:rFonts w:ascii="Courier New" w:hAnsi="Courier New" w:cs="Courier New"/>
      <w:sz w:val="20"/>
    </w:rPr>
  </w:style>
  <w:style w:type="character" w:customStyle="1" w:styleId="WW8Num6z2">
    <w:name w:val="WW8Num6z2"/>
    <w:qFormat/>
    <w:rPr>
      <w:rFonts w:ascii="Wingdings" w:hAnsi="Wingdings" w:cs="Wingdings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0">
    <w:name w:val="WW8Num11z0"/>
    <w:qFormat/>
    <w:rPr>
      <w:rFonts w:ascii="Symbol" w:hAnsi="Symbol" w:cs="Symbol"/>
      <w:sz w:val="20"/>
    </w:rPr>
  </w:style>
  <w:style w:type="character" w:customStyle="1" w:styleId="WW8Num11z1">
    <w:name w:val="WW8Num11z1"/>
    <w:qFormat/>
    <w:rPr>
      <w:rFonts w:ascii="Courier New" w:hAnsi="Courier New" w:cs="Courier New"/>
      <w:sz w:val="20"/>
    </w:rPr>
  </w:style>
  <w:style w:type="character" w:customStyle="1" w:styleId="WW8Num11z2">
    <w:name w:val="WW8Num11z2"/>
    <w:qFormat/>
    <w:rPr>
      <w:rFonts w:ascii="Wingdings" w:hAnsi="Wingdings" w:cs="Wingdings"/>
      <w:sz w:val="20"/>
    </w:rPr>
  </w:style>
  <w:style w:type="character" w:customStyle="1" w:styleId="WW8Num12z0">
    <w:name w:val="WW8Num12z0"/>
    <w:qFormat/>
    <w:rPr>
      <w:rFonts w:ascii="Symbol" w:hAnsi="Symbol" w:cs="Symbol"/>
      <w:sz w:val="20"/>
    </w:rPr>
  </w:style>
  <w:style w:type="character" w:customStyle="1" w:styleId="WW8Num12z1">
    <w:name w:val="WW8Num12z1"/>
    <w:qFormat/>
    <w:rPr>
      <w:rFonts w:ascii="Courier New" w:hAnsi="Courier New" w:cs="Courier New"/>
      <w:sz w:val="20"/>
    </w:rPr>
  </w:style>
  <w:style w:type="character" w:customStyle="1" w:styleId="WW8Num12z2">
    <w:name w:val="WW8Num12z2"/>
    <w:qFormat/>
    <w:rPr>
      <w:rFonts w:ascii="Wingdings" w:hAnsi="Wingdings" w:cs="Wingdings"/>
      <w:sz w:val="20"/>
    </w:rPr>
  </w:style>
  <w:style w:type="character" w:customStyle="1" w:styleId="afd">
    <w:name w:val="Текст выноски Знак"/>
    <w:qFormat/>
    <w:rPr>
      <w:rFonts w:ascii="Tahoma" w:eastAsia="Calibri" w:hAnsi="Tahoma" w:cs="Tahoma"/>
      <w:sz w:val="16"/>
      <w:szCs w:val="16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2307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2024-02-05T10:41:00Z</cp:lastPrinted>
  <dcterms:created xsi:type="dcterms:W3CDTF">2024-02-05T10:42:00Z</dcterms:created>
  <dcterms:modified xsi:type="dcterms:W3CDTF">2024-02-05T10:42:00Z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4724AF3FED984380B5696036429B6E59_13</vt:lpwstr>
  </property>
</Properties>
</file>